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EA" w:rsidRDefault="000A10EA"/>
    <w:p w:rsidR="0057279F" w:rsidRDefault="0057279F">
      <w:r>
        <w:t xml:space="preserve">A </w:t>
      </w:r>
      <w:r>
        <w:rPr>
          <w:b/>
          <w:bCs/>
        </w:rPr>
        <w:t>currency board</w:t>
      </w:r>
      <w:r>
        <w:t xml:space="preserve"> is a </w:t>
      </w:r>
      <w:hyperlink r:id="rId5" w:tooltip="Monetary authority" w:history="1">
        <w:r>
          <w:rPr>
            <w:rStyle w:val="Hyperlink"/>
          </w:rPr>
          <w:t>monetary authority</w:t>
        </w:r>
      </w:hyperlink>
      <w:r>
        <w:t xml:space="preserve"> which is required to maintain a </w:t>
      </w:r>
      <w:hyperlink r:id="rId6" w:tooltip="Fixed exchange rate" w:history="1">
        <w:r>
          <w:rPr>
            <w:rStyle w:val="Hyperlink"/>
          </w:rPr>
          <w:t>fixed exchange rate</w:t>
        </w:r>
      </w:hyperlink>
      <w:r>
        <w:t xml:space="preserve"> with a foreign currency. This policy objective requires the conventional objectives of a central bank to be subordinated to the exchange rate target.</w:t>
      </w:r>
    </w:p>
    <w:p w:rsidR="0057279F" w:rsidRDefault="0057279F"/>
    <w:p w:rsidR="0057279F" w:rsidRPr="0057279F" w:rsidRDefault="0057279F" w:rsidP="0057279F">
      <w:pPr>
        <w:spacing w:before="100" w:beforeAutospacing="1" w:after="100" w:afterAutospacing="1"/>
        <w:ind w:firstLine="0"/>
        <w:outlineLvl w:val="1"/>
        <w:rPr>
          <w:rFonts w:ascii="Times New Roman" w:eastAsia="Times New Roman" w:hAnsi="Times New Roman" w:cs="Times New Roman"/>
          <w:b/>
          <w:bCs/>
          <w:sz w:val="36"/>
          <w:szCs w:val="36"/>
        </w:rPr>
      </w:pPr>
      <w:r w:rsidRPr="0057279F">
        <w:rPr>
          <w:rFonts w:ascii="Times New Roman" w:eastAsia="Times New Roman" w:hAnsi="Times New Roman" w:cs="Times New Roman"/>
          <w:b/>
          <w:bCs/>
          <w:sz w:val="36"/>
          <w:szCs w:val="36"/>
        </w:rPr>
        <w:t>Features of "orthodox" currency boards</w:t>
      </w:r>
    </w:p>
    <w:p w:rsidR="0057279F" w:rsidRPr="0057279F" w:rsidRDefault="0057279F" w:rsidP="0057279F">
      <w:pPr>
        <w:spacing w:before="100" w:beforeAutospacing="1" w:after="100" w:afterAutospacing="1"/>
        <w:ind w:firstLine="0"/>
        <w:rPr>
          <w:rFonts w:ascii="Times New Roman" w:eastAsia="Times New Roman" w:hAnsi="Times New Roman" w:cs="Times New Roman"/>
          <w:sz w:val="24"/>
          <w:szCs w:val="24"/>
        </w:rPr>
      </w:pPr>
      <w:r w:rsidRPr="0057279F">
        <w:rPr>
          <w:rFonts w:ascii="Times New Roman" w:eastAsia="Times New Roman" w:hAnsi="Times New Roman" w:cs="Times New Roman"/>
          <w:sz w:val="24"/>
          <w:szCs w:val="24"/>
        </w:rPr>
        <w:t>The main qualities of an orthodox currency board are:</w:t>
      </w:r>
    </w:p>
    <w:p w:rsidR="0057279F" w:rsidRPr="0057279F" w:rsidRDefault="0057279F" w:rsidP="0057279F">
      <w:pPr>
        <w:numPr>
          <w:ilvl w:val="0"/>
          <w:numId w:val="1"/>
        </w:numPr>
        <w:spacing w:before="100" w:beforeAutospacing="1" w:after="100" w:afterAutospacing="1"/>
        <w:rPr>
          <w:rFonts w:ascii="Times New Roman" w:eastAsia="Times New Roman" w:hAnsi="Times New Roman" w:cs="Times New Roman"/>
          <w:sz w:val="24"/>
          <w:szCs w:val="24"/>
        </w:rPr>
      </w:pPr>
      <w:r w:rsidRPr="0057279F">
        <w:rPr>
          <w:rFonts w:ascii="Times New Roman" w:eastAsia="Times New Roman" w:hAnsi="Times New Roman" w:cs="Times New Roman"/>
          <w:sz w:val="24"/>
          <w:szCs w:val="24"/>
        </w:rPr>
        <w:t xml:space="preserve">A currency board's foreign currency reserves must be sufficient to ensure that all holders of its notes and coins (and all banks creditor of a Reserve Account at the currency board) can convert them into the reserve currency (usually 110–115% of the </w:t>
      </w:r>
      <w:hyperlink r:id="rId7" w:tooltip="Monetary base" w:history="1">
        <w:r w:rsidRPr="0057279F">
          <w:rPr>
            <w:rFonts w:ascii="Times New Roman" w:eastAsia="Times New Roman" w:hAnsi="Times New Roman" w:cs="Times New Roman"/>
            <w:color w:val="0000FF"/>
            <w:sz w:val="24"/>
            <w:szCs w:val="24"/>
            <w:u w:val="single"/>
          </w:rPr>
          <w:t>monetary base</w:t>
        </w:r>
      </w:hyperlink>
      <w:r w:rsidRPr="0057279F">
        <w:rPr>
          <w:rFonts w:ascii="Times New Roman" w:eastAsia="Times New Roman" w:hAnsi="Times New Roman" w:cs="Times New Roman"/>
          <w:sz w:val="24"/>
          <w:szCs w:val="24"/>
        </w:rPr>
        <w:t xml:space="preserve"> </w:t>
      </w:r>
      <w:r w:rsidRPr="0057279F">
        <w:rPr>
          <w:rFonts w:ascii="Times New Roman" w:eastAsia="Times New Roman" w:hAnsi="Times New Roman" w:cs="Times New Roman"/>
          <w:b/>
          <w:bCs/>
          <w:sz w:val="24"/>
          <w:szCs w:val="24"/>
        </w:rPr>
        <w:t>M0</w:t>
      </w:r>
      <w:r w:rsidRPr="0057279F">
        <w:rPr>
          <w:rFonts w:ascii="Times New Roman" w:eastAsia="Times New Roman" w:hAnsi="Times New Roman" w:cs="Times New Roman"/>
          <w:sz w:val="24"/>
          <w:szCs w:val="24"/>
        </w:rPr>
        <w:t>).</w:t>
      </w:r>
    </w:p>
    <w:p w:rsidR="0057279F" w:rsidRPr="0057279F" w:rsidRDefault="0057279F" w:rsidP="0057279F">
      <w:pPr>
        <w:numPr>
          <w:ilvl w:val="0"/>
          <w:numId w:val="1"/>
        </w:numPr>
        <w:spacing w:before="100" w:beforeAutospacing="1" w:after="100" w:afterAutospacing="1"/>
        <w:rPr>
          <w:rFonts w:ascii="Times New Roman" w:eastAsia="Times New Roman" w:hAnsi="Times New Roman" w:cs="Times New Roman"/>
          <w:sz w:val="24"/>
          <w:szCs w:val="24"/>
        </w:rPr>
      </w:pPr>
      <w:r w:rsidRPr="0057279F">
        <w:rPr>
          <w:rFonts w:ascii="Times New Roman" w:eastAsia="Times New Roman" w:hAnsi="Times New Roman" w:cs="Times New Roman"/>
          <w:sz w:val="24"/>
          <w:szCs w:val="24"/>
        </w:rPr>
        <w:t>A currency board maintains absolute, unlimited convertibility between its notes and coins and the currency against which they are pegged (</w:t>
      </w:r>
      <w:r w:rsidRPr="0057279F">
        <w:rPr>
          <w:rFonts w:ascii="Times New Roman" w:eastAsia="Times New Roman" w:hAnsi="Times New Roman" w:cs="Times New Roman"/>
          <w:b/>
          <w:bCs/>
          <w:sz w:val="24"/>
          <w:szCs w:val="24"/>
        </w:rPr>
        <w:t>the anchor currency</w:t>
      </w:r>
      <w:r w:rsidRPr="0057279F">
        <w:rPr>
          <w:rFonts w:ascii="Times New Roman" w:eastAsia="Times New Roman" w:hAnsi="Times New Roman" w:cs="Times New Roman"/>
          <w:sz w:val="24"/>
          <w:szCs w:val="24"/>
        </w:rPr>
        <w:t>), at a fixed rate of exchange, with no restrictions on current-account or capital-account transactions.</w:t>
      </w:r>
    </w:p>
    <w:p w:rsidR="0057279F" w:rsidRPr="0057279F" w:rsidRDefault="0057279F" w:rsidP="0057279F">
      <w:pPr>
        <w:numPr>
          <w:ilvl w:val="0"/>
          <w:numId w:val="1"/>
        </w:numPr>
        <w:spacing w:before="100" w:beforeAutospacing="1" w:after="100" w:afterAutospacing="1"/>
        <w:rPr>
          <w:rFonts w:ascii="Times New Roman" w:eastAsia="Times New Roman" w:hAnsi="Times New Roman" w:cs="Times New Roman"/>
          <w:sz w:val="24"/>
          <w:szCs w:val="24"/>
        </w:rPr>
      </w:pPr>
      <w:r w:rsidRPr="0057279F">
        <w:rPr>
          <w:rFonts w:ascii="Times New Roman" w:eastAsia="Times New Roman" w:hAnsi="Times New Roman" w:cs="Times New Roman"/>
          <w:sz w:val="24"/>
          <w:szCs w:val="24"/>
        </w:rPr>
        <w:t xml:space="preserve">A currency board only earns profit from interests on foreign reserves (less the expense of note-issuing), and does not engage in forward-exchange transactions. These foreign reserves exist (1) because local notes have been issued in exchange, or (2) because commercial banks must by regulation deposit a </w:t>
      </w:r>
      <w:hyperlink r:id="rId8" w:tooltip="Reserve requirement" w:history="1">
        <w:r w:rsidRPr="0057279F">
          <w:rPr>
            <w:rFonts w:ascii="Times New Roman" w:eastAsia="Times New Roman" w:hAnsi="Times New Roman" w:cs="Times New Roman"/>
            <w:color w:val="0000FF"/>
            <w:sz w:val="24"/>
            <w:szCs w:val="24"/>
            <w:u w:val="single"/>
          </w:rPr>
          <w:t>minimum reserve</w:t>
        </w:r>
      </w:hyperlink>
      <w:r w:rsidRPr="0057279F">
        <w:rPr>
          <w:rFonts w:ascii="Times New Roman" w:eastAsia="Times New Roman" w:hAnsi="Times New Roman" w:cs="Times New Roman"/>
          <w:sz w:val="24"/>
          <w:szCs w:val="24"/>
        </w:rPr>
        <w:t xml:space="preserve"> at the Currency Board. (1) </w:t>
      </w:r>
      <w:proofErr w:type="gramStart"/>
      <w:r w:rsidRPr="0057279F">
        <w:rPr>
          <w:rFonts w:ascii="Times New Roman" w:eastAsia="Times New Roman" w:hAnsi="Times New Roman" w:cs="Times New Roman"/>
          <w:sz w:val="24"/>
          <w:szCs w:val="24"/>
        </w:rPr>
        <w:t>generates</w:t>
      </w:r>
      <w:proofErr w:type="gramEnd"/>
      <w:r w:rsidRPr="0057279F">
        <w:rPr>
          <w:rFonts w:ascii="Times New Roman" w:eastAsia="Times New Roman" w:hAnsi="Times New Roman" w:cs="Times New Roman"/>
          <w:sz w:val="24"/>
          <w:szCs w:val="24"/>
        </w:rPr>
        <w:t xml:space="preserve"> a </w:t>
      </w:r>
      <w:hyperlink r:id="rId9" w:tooltip="Seignorage" w:history="1">
        <w:proofErr w:type="spellStart"/>
        <w:r w:rsidRPr="0057279F">
          <w:rPr>
            <w:rFonts w:ascii="Times New Roman" w:eastAsia="Times New Roman" w:hAnsi="Times New Roman" w:cs="Times New Roman"/>
            <w:b/>
            <w:bCs/>
            <w:color w:val="0000FF"/>
            <w:sz w:val="24"/>
            <w:szCs w:val="24"/>
            <w:u w:val="single"/>
          </w:rPr>
          <w:t>seignorage</w:t>
        </w:r>
        <w:proofErr w:type="spellEnd"/>
      </w:hyperlink>
      <w:r w:rsidRPr="0057279F">
        <w:rPr>
          <w:rFonts w:ascii="Times New Roman" w:eastAsia="Times New Roman" w:hAnsi="Times New Roman" w:cs="Times New Roman"/>
          <w:sz w:val="24"/>
          <w:szCs w:val="24"/>
        </w:rPr>
        <w:t xml:space="preserve"> revenue. (2) is the revenue on minimum reserves (revenue of investment activities less cost of minimum reserves remuneration)</w:t>
      </w:r>
    </w:p>
    <w:p w:rsidR="0057279F" w:rsidRPr="0057279F" w:rsidRDefault="0057279F" w:rsidP="0057279F">
      <w:pPr>
        <w:numPr>
          <w:ilvl w:val="0"/>
          <w:numId w:val="1"/>
        </w:numPr>
        <w:spacing w:before="100" w:beforeAutospacing="1" w:after="100" w:afterAutospacing="1"/>
        <w:rPr>
          <w:rFonts w:ascii="Times New Roman" w:eastAsia="Times New Roman" w:hAnsi="Times New Roman" w:cs="Times New Roman"/>
          <w:sz w:val="24"/>
          <w:szCs w:val="24"/>
        </w:rPr>
      </w:pPr>
      <w:r w:rsidRPr="0057279F">
        <w:rPr>
          <w:rFonts w:ascii="Times New Roman" w:eastAsia="Times New Roman" w:hAnsi="Times New Roman" w:cs="Times New Roman"/>
          <w:sz w:val="24"/>
          <w:szCs w:val="24"/>
        </w:rPr>
        <w:t xml:space="preserve">A currency board has no discretionary powers to affect </w:t>
      </w:r>
      <w:hyperlink r:id="rId10" w:tooltip="Monetary policy" w:history="1">
        <w:r w:rsidRPr="0057279F">
          <w:rPr>
            <w:rFonts w:ascii="Times New Roman" w:eastAsia="Times New Roman" w:hAnsi="Times New Roman" w:cs="Times New Roman"/>
            <w:color w:val="0000FF"/>
            <w:sz w:val="24"/>
            <w:szCs w:val="24"/>
            <w:u w:val="single"/>
          </w:rPr>
          <w:t>monetary policy</w:t>
        </w:r>
      </w:hyperlink>
      <w:r w:rsidRPr="0057279F">
        <w:rPr>
          <w:rFonts w:ascii="Times New Roman" w:eastAsia="Times New Roman" w:hAnsi="Times New Roman" w:cs="Times New Roman"/>
          <w:sz w:val="24"/>
          <w:szCs w:val="24"/>
        </w:rPr>
        <w:t xml:space="preserve"> and does not lend to the government. Governments cannot print money, and can only tax or borrow to meet their spending commitments.</w:t>
      </w:r>
    </w:p>
    <w:p w:rsidR="0057279F" w:rsidRPr="0057279F" w:rsidRDefault="0057279F" w:rsidP="0057279F">
      <w:pPr>
        <w:numPr>
          <w:ilvl w:val="0"/>
          <w:numId w:val="1"/>
        </w:numPr>
        <w:spacing w:before="100" w:beforeAutospacing="1" w:after="100" w:afterAutospacing="1"/>
        <w:rPr>
          <w:rFonts w:ascii="Times New Roman" w:eastAsia="Times New Roman" w:hAnsi="Times New Roman" w:cs="Times New Roman"/>
          <w:sz w:val="24"/>
          <w:szCs w:val="24"/>
        </w:rPr>
      </w:pPr>
      <w:r w:rsidRPr="0057279F">
        <w:rPr>
          <w:rFonts w:ascii="Times New Roman" w:eastAsia="Times New Roman" w:hAnsi="Times New Roman" w:cs="Times New Roman"/>
          <w:sz w:val="24"/>
          <w:szCs w:val="24"/>
        </w:rPr>
        <w:t xml:space="preserve">A currency board does not act as a </w:t>
      </w:r>
      <w:hyperlink r:id="rId11" w:tooltip="Lender of last resort" w:history="1">
        <w:r w:rsidRPr="0057279F">
          <w:rPr>
            <w:rFonts w:ascii="Times New Roman" w:eastAsia="Times New Roman" w:hAnsi="Times New Roman" w:cs="Times New Roman"/>
            <w:color w:val="0000FF"/>
            <w:sz w:val="24"/>
            <w:szCs w:val="24"/>
            <w:u w:val="single"/>
          </w:rPr>
          <w:t>lender of last resort</w:t>
        </w:r>
      </w:hyperlink>
      <w:r w:rsidRPr="0057279F">
        <w:rPr>
          <w:rFonts w:ascii="Times New Roman" w:eastAsia="Times New Roman" w:hAnsi="Times New Roman" w:cs="Times New Roman"/>
          <w:sz w:val="24"/>
          <w:szCs w:val="24"/>
        </w:rPr>
        <w:t xml:space="preserve"> to commercial banks, and does not regulate reserve requirements.</w:t>
      </w:r>
    </w:p>
    <w:p w:rsidR="0057279F" w:rsidRPr="0057279F" w:rsidRDefault="0057279F" w:rsidP="0057279F">
      <w:pPr>
        <w:numPr>
          <w:ilvl w:val="0"/>
          <w:numId w:val="1"/>
        </w:numPr>
        <w:spacing w:before="100" w:beforeAutospacing="1" w:after="100" w:afterAutospacing="1"/>
        <w:rPr>
          <w:rFonts w:ascii="Times New Roman" w:eastAsia="Times New Roman" w:hAnsi="Times New Roman" w:cs="Times New Roman"/>
          <w:sz w:val="24"/>
          <w:szCs w:val="24"/>
        </w:rPr>
      </w:pPr>
      <w:r w:rsidRPr="0057279F">
        <w:rPr>
          <w:rFonts w:ascii="Times New Roman" w:eastAsia="Times New Roman" w:hAnsi="Times New Roman" w:cs="Times New Roman"/>
          <w:sz w:val="24"/>
          <w:szCs w:val="24"/>
        </w:rPr>
        <w:t>A currency board does not attempt to manipulate interest rates by establishing a discount rate like a central bank. The peg with the foreign currency tends to keep interest rates and inflation very closely aligned to those in the country against whose currency the peg is fixed.</w:t>
      </w:r>
    </w:p>
    <w:p w:rsidR="0057279F" w:rsidRDefault="0057279F" w:rsidP="0057279F">
      <w:pPr>
        <w:ind w:firstLine="0"/>
      </w:pPr>
    </w:p>
    <w:p w:rsidR="0057279F" w:rsidRDefault="0057279F" w:rsidP="0057279F">
      <w:pPr>
        <w:pStyle w:val="Heading2"/>
      </w:pPr>
      <w:r>
        <w:rPr>
          <w:rStyle w:val="mw-headline"/>
        </w:rPr>
        <w:t>Consequences of adopting a fixed exchange rate as prime target</w:t>
      </w:r>
    </w:p>
    <w:p w:rsidR="0057279F" w:rsidRDefault="0057279F" w:rsidP="0057279F">
      <w:pPr>
        <w:pStyle w:val="NormalWeb"/>
      </w:pPr>
      <w:r>
        <w:t xml:space="preserve">The currency board in question will no longer issue </w:t>
      </w:r>
      <w:hyperlink r:id="rId12" w:tooltip="Fiat money" w:history="1">
        <w:r>
          <w:rPr>
            <w:rStyle w:val="Hyperlink"/>
          </w:rPr>
          <w:t>fiat money</w:t>
        </w:r>
      </w:hyperlink>
      <w:r>
        <w:t xml:space="preserve"> but instead will only issue one unit of local currency for each unit (or decided amount) of foreign currency it has in its vault (often a </w:t>
      </w:r>
      <w:hyperlink r:id="rId13" w:tooltip="Hard currency" w:history="1">
        <w:r>
          <w:rPr>
            <w:rStyle w:val="Hyperlink"/>
          </w:rPr>
          <w:t>hard currency</w:t>
        </w:r>
      </w:hyperlink>
      <w:r>
        <w:t xml:space="preserve"> such as the </w:t>
      </w:r>
      <w:hyperlink r:id="rId14" w:tooltip="United States dollar" w:history="1">
        <w:r>
          <w:rPr>
            <w:rStyle w:val="Hyperlink"/>
          </w:rPr>
          <w:t>U.S. dollar</w:t>
        </w:r>
      </w:hyperlink>
      <w:r>
        <w:t xml:space="preserve"> or the </w:t>
      </w:r>
      <w:hyperlink r:id="rId15" w:tooltip="Euro" w:history="1">
        <w:r>
          <w:rPr>
            <w:rStyle w:val="Hyperlink"/>
          </w:rPr>
          <w:t>euro</w:t>
        </w:r>
      </w:hyperlink>
      <w:r>
        <w:t xml:space="preserve">). The surplus on the </w:t>
      </w:r>
      <w:hyperlink r:id="rId16" w:tooltip="Balance of payments" w:history="1">
        <w:r>
          <w:rPr>
            <w:rStyle w:val="Hyperlink"/>
          </w:rPr>
          <w:t>balance of payments</w:t>
        </w:r>
      </w:hyperlink>
      <w:r>
        <w:t xml:space="preserve"> of that country is reflected by higher deposits local banks hold at the central bank as well as (initially) higher deposits of the (net) exporting firms at their local banks. The growth of the domestic money supply can now be coupled to the additional deposits of the banks at the central bank that equals additional hard </w:t>
      </w:r>
      <w:hyperlink r:id="rId17" w:tooltip="Foreign exchange reserves" w:history="1">
        <w:r>
          <w:rPr>
            <w:rStyle w:val="Hyperlink"/>
          </w:rPr>
          <w:t>foreign exchange reserves</w:t>
        </w:r>
      </w:hyperlink>
      <w:r>
        <w:t xml:space="preserve"> in the hands of the central bank.</w:t>
      </w:r>
    </w:p>
    <w:p w:rsidR="0057279F" w:rsidRDefault="0057279F" w:rsidP="0057279F">
      <w:pPr>
        <w:pStyle w:val="Heading2"/>
      </w:pPr>
      <w:r>
        <w:rPr>
          <w:rStyle w:val="editsection"/>
          <w:rFonts w:eastAsiaTheme="majorEastAsia"/>
        </w:rPr>
        <w:lastRenderedPageBreak/>
        <w:t>[</w:t>
      </w:r>
      <w:hyperlink r:id="rId18" w:tooltip="Edit section: Pros and cons" w:history="1">
        <w:proofErr w:type="gramStart"/>
        <w:r>
          <w:rPr>
            <w:rStyle w:val="Hyperlink"/>
          </w:rPr>
          <w:t>edit</w:t>
        </w:r>
        <w:proofErr w:type="gramEnd"/>
      </w:hyperlink>
      <w:r>
        <w:rPr>
          <w:rStyle w:val="editsection"/>
          <w:rFonts w:eastAsiaTheme="majorEastAsia"/>
        </w:rPr>
        <w:t>]</w:t>
      </w:r>
      <w:r>
        <w:t xml:space="preserve"> </w:t>
      </w:r>
      <w:r>
        <w:rPr>
          <w:rStyle w:val="mw-headline"/>
        </w:rPr>
        <w:t>Pros and cons</w:t>
      </w:r>
    </w:p>
    <w:p w:rsidR="0057279F" w:rsidRDefault="0057279F" w:rsidP="0057279F">
      <w:pPr>
        <w:pStyle w:val="NormalWeb"/>
      </w:pPr>
      <w:r>
        <w:t>The virtue of this system is that questions of currency stability no longer apply. The drawbacks are that the country no longer has the ability to set monetary policy according to other domestic considerations, and that the fixed exchange rate will, to a large extent, also fix a country's terms of trade, irrespective of economic differences between it and its trading partners. Typically, currency boards have advantages for small, open economies which would find independent monetary policy difficult to sustain. They can also form a credible commitment to low inflation.</w:t>
      </w:r>
    </w:p>
    <w:p w:rsidR="0057279F" w:rsidRDefault="0057279F" w:rsidP="0057279F">
      <w:pPr>
        <w:pStyle w:val="Heading3"/>
      </w:pPr>
      <w:r>
        <w:rPr>
          <w:rStyle w:val="mw-headline"/>
        </w:rPr>
        <w:t>Examples against the Euro</w:t>
      </w:r>
    </w:p>
    <w:p w:rsidR="0057279F" w:rsidRDefault="00627B55" w:rsidP="0057279F">
      <w:pPr>
        <w:numPr>
          <w:ilvl w:val="0"/>
          <w:numId w:val="2"/>
        </w:numPr>
        <w:spacing w:before="100" w:beforeAutospacing="1" w:after="100" w:afterAutospacing="1"/>
      </w:pPr>
      <w:hyperlink r:id="rId19" w:tooltip="Bulgarian lev" w:history="1">
        <w:r w:rsidR="0057279F">
          <w:rPr>
            <w:rStyle w:val="Hyperlink"/>
          </w:rPr>
          <w:t xml:space="preserve">Bulgarian </w:t>
        </w:r>
        <w:proofErr w:type="spellStart"/>
        <w:r w:rsidR="0057279F">
          <w:rPr>
            <w:rStyle w:val="Hyperlink"/>
          </w:rPr>
          <w:t>lev</w:t>
        </w:r>
        <w:proofErr w:type="spellEnd"/>
      </w:hyperlink>
    </w:p>
    <w:p w:rsidR="0057279F" w:rsidRDefault="00627B55" w:rsidP="0057279F">
      <w:pPr>
        <w:numPr>
          <w:ilvl w:val="0"/>
          <w:numId w:val="2"/>
        </w:numPr>
        <w:spacing w:before="100" w:beforeAutospacing="1" w:after="100" w:afterAutospacing="1"/>
      </w:pPr>
      <w:hyperlink r:id="rId20" w:tooltip="Estonian kroon" w:history="1">
        <w:r w:rsidR="0057279F">
          <w:rPr>
            <w:rStyle w:val="Hyperlink"/>
          </w:rPr>
          <w:t xml:space="preserve">Estonian </w:t>
        </w:r>
        <w:proofErr w:type="spellStart"/>
        <w:r w:rsidR="0057279F">
          <w:rPr>
            <w:rStyle w:val="Hyperlink"/>
          </w:rPr>
          <w:t>kroon</w:t>
        </w:r>
        <w:proofErr w:type="spellEnd"/>
      </w:hyperlink>
    </w:p>
    <w:p w:rsidR="0057279F" w:rsidRDefault="00627B55" w:rsidP="0057279F">
      <w:pPr>
        <w:numPr>
          <w:ilvl w:val="0"/>
          <w:numId w:val="2"/>
        </w:numPr>
        <w:spacing w:before="100" w:beforeAutospacing="1" w:after="100" w:afterAutospacing="1"/>
      </w:pPr>
      <w:hyperlink r:id="rId21" w:tooltip="Bosnia and Herzegovina convertible mark" w:history="1">
        <w:r w:rsidR="0057279F">
          <w:rPr>
            <w:rStyle w:val="Hyperlink"/>
          </w:rPr>
          <w:t>Bosnia and Herzegovina convertible mark</w:t>
        </w:r>
      </w:hyperlink>
      <w:r w:rsidR="0057279F">
        <w:t xml:space="preserve"> (</w:t>
      </w:r>
      <w:proofErr w:type="spellStart"/>
      <w:r w:rsidR="0057279F">
        <w:rPr>
          <w:i/>
          <w:iCs/>
        </w:rPr>
        <w:t>Konvertibilna</w:t>
      </w:r>
      <w:proofErr w:type="spellEnd"/>
      <w:r w:rsidR="0057279F">
        <w:rPr>
          <w:i/>
          <w:iCs/>
        </w:rPr>
        <w:t xml:space="preserve"> </w:t>
      </w:r>
      <w:proofErr w:type="spellStart"/>
      <w:r w:rsidR="0057279F">
        <w:rPr>
          <w:i/>
          <w:iCs/>
        </w:rPr>
        <w:t>marka</w:t>
      </w:r>
      <w:proofErr w:type="spellEnd"/>
      <w:r w:rsidR="0057279F">
        <w:t>)</w:t>
      </w:r>
    </w:p>
    <w:p w:rsidR="0057279F" w:rsidRDefault="00627B55" w:rsidP="0057279F">
      <w:pPr>
        <w:numPr>
          <w:ilvl w:val="0"/>
          <w:numId w:val="2"/>
        </w:numPr>
        <w:spacing w:before="100" w:beforeAutospacing="1" w:after="100" w:afterAutospacing="1"/>
      </w:pPr>
      <w:hyperlink r:id="rId22" w:tooltip="Lithuanian litas" w:history="1">
        <w:r w:rsidR="0057279F">
          <w:rPr>
            <w:rStyle w:val="Hyperlink"/>
          </w:rPr>
          <w:t xml:space="preserve">Lithuanian </w:t>
        </w:r>
        <w:proofErr w:type="spellStart"/>
        <w:r w:rsidR="0057279F">
          <w:rPr>
            <w:rStyle w:val="Hyperlink"/>
          </w:rPr>
          <w:t>litas</w:t>
        </w:r>
        <w:proofErr w:type="spellEnd"/>
      </w:hyperlink>
      <w:r w:rsidR="0057279F">
        <w:t xml:space="preserve"> </w:t>
      </w:r>
    </w:p>
    <w:p w:rsidR="0057279F" w:rsidRDefault="0057279F" w:rsidP="0057279F">
      <w:pPr>
        <w:numPr>
          <w:ilvl w:val="1"/>
          <w:numId w:val="2"/>
        </w:numPr>
        <w:spacing w:before="100" w:beforeAutospacing="1" w:after="100" w:afterAutospacing="1"/>
      </w:pPr>
      <w:r>
        <w:t xml:space="preserve">For complete listing, see </w:t>
      </w:r>
      <w:hyperlink r:id="rId23" w:tooltip="Currencies related to the euro" w:history="1">
        <w:r>
          <w:rPr>
            <w:rStyle w:val="Hyperlink"/>
          </w:rPr>
          <w:t>currencies related to the euro</w:t>
        </w:r>
      </w:hyperlink>
    </w:p>
    <w:p w:rsidR="0057279F" w:rsidRDefault="0057279F" w:rsidP="0057279F">
      <w:pPr>
        <w:pStyle w:val="Heading3"/>
      </w:pPr>
      <w:r>
        <w:t xml:space="preserve"> </w:t>
      </w:r>
      <w:r>
        <w:rPr>
          <w:rStyle w:val="mw-headline"/>
        </w:rPr>
        <w:t>Examples against the U.S. dollar</w:t>
      </w:r>
    </w:p>
    <w:p w:rsidR="0057279F" w:rsidRDefault="00627B55" w:rsidP="0057279F">
      <w:pPr>
        <w:numPr>
          <w:ilvl w:val="0"/>
          <w:numId w:val="3"/>
        </w:numPr>
        <w:spacing w:before="100" w:beforeAutospacing="1" w:after="100" w:afterAutospacing="1"/>
      </w:pPr>
      <w:hyperlink r:id="rId24" w:tooltip="Hong Kong dollar" w:history="1">
        <w:r w:rsidR="0057279F">
          <w:rPr>
            <w:rStyle w:val="Hyperlink"/>
          </w:rPr>
          <w:t>Hong Kong dollar</w:t>
        </w:r>
      </w:hyperlink>
    </w:p>
    <w:p w:rsidR="0057279F" w:rsidRDefault="00627B55" w:rsidP="0057279F">
      <w:pPr>
        <w:numPr>
          <w:ilvl w:val="0"/>
          <w:numId w:val="3"/>
        </w:numPr>
        <w:spacing w:before="100" w:beforeAutospacing="1" w:after="100" w:afterAutospacing="1"/>
      </w:pPr>
      <w:hyperlink r:id="rId25" w:tooltip="Bermudian dollar" w:history="1">
        <w:r w:rsidR="0057279F">
          <w:rPr>
            <w:rStyle w:val="Hyperlink"/>
          </w:rPr>
          <w:t>Bermudian dollar</w:t>
        </w:r>
      </w:hyperlink>
    </w:p>
    <w:p w:rsidR="0057279F" w:rsidRDefault="00627B55" w:rsidP="0057279F">
      <w:pPr>
        <w:numPr>
          <w:ilvl w:val="0"/>
          <w:numId w:val="3"/>
        </w:numPr>
        <w:spacing w:before="100" w:beforeAutospacing="1" w:after="100" w:afterAutospacing="1"/>
      </w:pPr>
      <w:hyperlink r:id="rId26" w:tooltip="Cayman Islands dollar" w:history="1">
        <w:r w:rsidR="0057279F">
          <w:rPr>
            <w:rStyle w:val="Hyperlink"/>
          </w:rPr>
          <w:t>Cayman Islands dollar</w:t>
        </w:r>
      </w:hyperlink>
    </w:p>
    <w:p w:rsidR="0057279F" w:rsidRDefault="00627B55" w:rsidP="0057279F">
      <w:pPr>
        <w:numPr>
          <w:ilvl w:val="0"/>
          <w:numId w:val="3"/>
        </w:numPr>
        <w:spacing w:before="100" w:beforeAutospacing="1" w:after="100" w:afterAutospacing="1"/>
      </w:pPr>
      <w:hyperlink r:id="rId27" w:tooltip="Djiboutian franc" w:history="1">
        <w:r w:rsidR="0057279F">
          <w:rPr>
            <w:rStyle w:val="Hyperlink"/>
          </w:rPr>
          <w:t>Djiboutian franc</w:t>
        </w:r>
      </w:hyperlink>
    </w:p>
    <w:p w:rsidR="0057279F" w:rsidRDefault="00627B55" w:rsidP="0057279F">
      <w:pPr>
        <w:numPr>
          <w:ilvl w:val="0"/>
          <w:numId w:val="3"/>
        </w:numPr>
        <w:spacing w:before="100" w:beforeAutospacing="1" w:after="100" w:afterAutospacing="1"/>
      </w:pPr>
      <w:hyperlink r:id="rId28" w:tooltip="East Caribbean dollar" w:history="1">
        <w:r w:rsidR="0057279F">
          <w:rPr>
            <w:rStyle w:val="Hyperlink"/>
          </w:rPr>
          <w:t>East Caribbean dollar</w:t>
        </w:r>
      </w:hyperlink>
      <w:r w:rsidR="0057279F">
        <w:t xml:space="preserve"> (</w:t>
      </w:r>
      <w:hyperlink r:id="rId29" w:tooltip="Antigua" w:history="1">
        <w:r w:rsidR="0057279F">
          <w:rPr>
            <w:rStyle w:val="Hyperlink"/>
          </w:rPr>
          <w:t>Antigua</w:t>
        </w:r>
      </w:hyperlink>
      <w:r w:rsidR="0057279F">
        <w:t xml:space="preserve"> and </w:t>
      </w:r>
      <w:hyperlink r:id="rId30" w:tooltip="Barbuda" w:history="1">
        <w:r w:rsidR="0057279F">
          <w:rPr>
            <w:rStyle w:val="Hyperlink"/>
          </w:rPr>
          <w:t>Barbuda</w:t>
        </w:r>
      </w:hyperlink>
      <w:r w:rsidR="0057279F">
        <w:t xml:space="preserve">, </w:t>
      </w:r>
      <w:hyperlink r:id="rId31" w:tooltip="Dominica" w:history="1">
        <w:r w:rsidR="0057279F">
          <w:rPr>
            <w:rStyle w:val="Hyperlink"/>
          </w:rPr>
          <w:t>Dominica</w:t>
        </w:r>
      </w:hyperlink>
      <w:r w:rsidR="0057279F">
        <w:t xml:space="preserve">, </w:t>
      </w:r>
      <w:hyperlink r:id="rId32" w:tooltip="Grenada" w:history="1">
        <w:r w:rsidR="0057279F">
          <w:rPr>
            <w:rStyle w:val="Hyperlink"/>
          </w:rPr>
          <w:t>Grenada</w:t>
        </w:r>
      </w:hyperlink>
      <w:r w:rsidR="0057279F">
        <w:t xml:space="preserve">, </w:t>
      </w:r>
      <w:hyperlink r:id="rId33" w:tooltip="Saint Kitts and Nevis" w:history="1">
        <w:r w:rsidR="0057279F">
          <w:rPr>
            <w:rStyle w:val="Hyperlink"/>
          </w:rPr>
          <w:t>Saint Kitts and Nevis</w:t>
        </w:r>
      </w:hyperlink>
      <w:r w:rsidR="0057279F">
        <w:t xml:space="preserve">, </w:t>
      </w:r>
      <w:hyperlink r:id="rId34" w:tooltip="Saint Lucia" w:history="1">
        <w:r w:rsidR="0057279F">
          <w:rPr>
            <w:rStyle w:val="Hyperlink"/>
          </w:rPr>
          <w:t>Saint Lucia</w:t>
        </w:r>
      </w:hyperlink>
      <w:r w:rsidR="0057279F">
        <w:t xml:space="preserve">, and </w:t>
      </w:r>
      <w:hyperlink r:id="rId35" w:tooltip="Saint Vincent and the Grenadines" w:history="1">
        <w:r w:rsidR="0057279F">
          <w:rPr>
            <w:rStyle w:val="Hyperlink"/>
          </w:rPr>
          <w:t>Saint Vincent and the Grenadines</w:t>
        </w:r>
      </w:hyperlink>
      <w:r w:rsidR="0057279F">
        <w:t xml:space="preserve">) </w:t>
      </w:r>
    </w:p>
    <w:p w:rsidR="0057279F" w:rsidRDefault="0057279F" w:rsidP="0057279F">
      <w:pPr>
        <w:numPr>
          <w:ilvl w:val="1"/>
          <w:numId w:val="3"/>
        </w:numPr>
        <w:spacing w:before="100" w:beforeAutospacing="1" w:after="100" w:afterAutospacing="1"/>
      </w:pPr>
      <w:r>
        <w:t xml:space="preserve">For complete listing, see </w:t>
      </w:r>
      <w:hyperlink r:id="rId36" w:tooltip="United States dollar" w:history="1">
        <w:r>
          <w:rPr>
            <w:rStyle w:val="Hyperlink"/>
          </w:rPr>
          <w:t>United States dollar</w:t>
        </w:r>
      </w:hyperlink>
    </w:p>
    <w:p w:rsidR="0057279F" w:rsidRDefault="0057279F" w:rsidP="0057279F">
      <w:pPr>
        <w:pStyle w:val="Heading3"/>
      </w:pPr>
      <w:r>
        <w:t xml:space="preserve"> </w:t>
      </w:r>
      <w:r>
        <w:rPr>
          <w:rStyle w:val="mw-headline"/>
        </w:rPr>
        <w:t>Examples against the pound sterling</w:t>
      </w:r>
    </w:p>
    <w:p w:rsidR="0057279F" w:rsidRDefault="00627B55" w:rsidP="0057279F">
      <w:pPr>
        <w:numPr>
          <w:ilvl w:val="0"/>
          <w:numId w:val="4"/>
        </w:numPr>
        <w:spacing w:before="100" w:beforeAutospacing="1" w:after="100" w:afterAutospacing="1"/>
      </w:pPr>
      <w:hyperlink r:id="rId37" w:tooltip="Falkland Islands pound" w:history="1">
        <w:r w:rsidR="0057279F">
          <w:rPr>
            <w:rStyle w:val="Hyperlink"/>
          </w:rPr>
          <w:t>Falkland Islands pound</w:t>
        </w:r>
      </w:hyperlink>
    </w:p>
    <w:p w:rsidR="0057279F" w:rsidRDefault="00627B55" w:rsidP="0057279F">
      <w:pPr>
        <w:numPr>
          <w:ilvl w:val="0"/>
          <w:numId w:val="4"/>
        </w:numPr>
        <w:spacing w:before="100" w:beforeAutospacing="1" w:after="100" w:afterAutospacing="1"/>
      </w:pPr>
      <w:hyperlink r:id="rId38" w:tooltip="Gibraltar pound" w:history="1">
        <w:r w:rsidR="0057279F">
          <w:rPr>
            <w:rStyle w:val="Hyperlink"/>
          </w:rPr>
          <w:t>Gibraltar pound</w:t>
        </w:r>
      </w:hyperlink>
    </w:p>
    <w:p w:rsidR="0057279F" w:rsidRDefault="00627B55" w:rsidP="0057279F">
      <w:pPr>
        <w:numPr>
          <w:ilvl w:val="0"/>
          <w:numId w:val="4"/>
        </w:numPr>
        <w:spacing w:before="100" w:beforeAutospacing="1" w:after="100" w:afterAutospacing="1"/>
      </w:pPr>
      <w:hyperlink r:id="rId39" w:tooltip="Saint Helena pound" w:history="1">
        <w:r w:rsidR="0057279F">
          <w:rPr>
            <w:rStyle w:val="Hyperlink"/>
          </w:rPr>
          <w:t>Saint Helena pound</w:t>
        </w:r>
      </w:hyperlink>
    </w:p>
    <w:p w:rsidR="0057279F" w:rsidRDefault="0057279F" w:rsidP="0057279F">
      <w:pPr>
        <w:pStyle w:val="Heading3"/>
      </w:pPr>
      <w:r>
        <w:rPr>
          <w:rStyle w:val="mw-headline"/>
        </w:rPr>
        <w:t>Examples against other currencies</w:t>
      </w:r>
    </w:p>
    <w:p w:rsidR="0057279F" w:rsidRDefault="00627B55" w:rsidP="0057279F">
      <w:pPr>
        <w:numPr>
          <w:ilvl w:val="0"/>
          <w:numId w:val="5"/>
        </w:numPr>
        <w:spacing w:before="100" w:beforeAutospacing="1" w:after="100" w:afterAutospacing="1"/>
      </w:pPr>
      <w:hyperlink r:id="rId40" w:tooltip="Brunei dollar" w:history="1">
        <w:r w:rsidR="0057279F">
          <w:rPr>
            <w:rStyle w:val="Hyperlink"/>
          </w:rPr>
          <w:t>Brunei dollar</w:t>
        </w:r>
      </w:hyperlink>
      <w:r w:rsidR="0057279F">
        <w:t xml:space="preserve">, against the </w:t>
      </w:r>
      <w:hyperlink r:id="rId41" w:tooltip="Singapore dollar" w:history="1">
        <w:r w:rsidR="0057279F">
          <w:rPr>
            <w:rStyle w:val="Hyperlink"/>
          </w:rPr>
          <w:t>Singapore dollar</w:t>
        </w:r>
      </w:hyperlink>
    </w:p>
    <w:p w:rsidR="0057279F" w:rsidRDefault="00627B55" w:rsidP="0057279F">
      <w:pPr>
        <w:numPr>
          <w:ilvl w:val="0"/>
          <w:numId w:val="5"/>
        </w:numPr>
        <w:spacing w:before="100" w:beforeAutospacing="1" w:after="100" w:afterAutospacing="1"/>
      </w:pPr>
      <w:hyperlink r:id="rId42" w:tooltip="Macanese pataca" w:history="1">
        <w:r w:rsidR="0057279F">
          <w:rPr>
            <w:rStyle w:val="Hyperlink"/>
          </w:rPr>
          <w:t xml:space="preserve">Macanese </w:t>
        </w:r>
        <w:proofErr w:type="spellStart"/>
        <w:r w:rsidR="0057279F">
          <w:rPr>
            <w:rStyle w:val="Hyperlink"/>
          </w:rPr>
          <w:t>pataca</w:t>
        </w:r>
        <w:proofErr w:type="spellEnd"/>
      </w:hyperlink>
      <w:r w:rsidR="0057279F">
        <w:t xml:space="preserve">, against the </w:t>
      </w:r>
      <w:hyperlink r:id="rId43" w:tooltip="Hong Kong dollar" w:history="1">
        <w:r w:rsidR="0057279F">
          <w:rPr>
            <w:rStyle w:val="Hyperlink"/>
          </w:rPr>
          <w:t>Hong Kong dollar</w:t>
        </w:r>
      </w:hyperlink>
    </w:p>
    <w:p w:rsidR="0057279F" w:rsidRDefault="0057279F" w:rsidP="0057279F">
      <w:pPr>
        <w:numPr>
          <w:ilvl w:val="0"/>
          <w:numId w:val="5"/>
        </w:numPr>
        <w:spacing w:before="100" w:beforeAutospacing="1" w:after="100" w:afterAutospacing="1"/>
      </w:pPr>
      <w:r>
        <w:t xml:space="preserve">The </w:t>
      </w:r>
      <w:hyperlink r:id="rId44" w:tooltip="Faeroe Islands" w:history="1">
        <w:r>
          <w:rPr>
            <w:rStyle w:val="Hyperlink"/>
          </w:rPr>
          <w:t>Faeroe Islands</w:t>
        </w:r>
      </w:hyperlink>
      <w:r>
        <w:t xml:space="preserve"> have a </w:t>
      </w:r>
      <w:r>
        <w:rPr>
          <w:i/>
          <w:iCs/>
        </w:rPr>
        <w:t>de jure</w:t>
      </w:r>
      <w:r>
        <w:t xml:space="preserve"> currency board, but in fact the </w:t>
      </w:r>
      <w:hyperlink r:id="rId45" w:tooltip="Danish National Bank" w:history="1">
        <w:r>
          <w:rPr>
            <w:rStyle w:val="Hyperlink"/>
          </w:rPr>
          <w:t>Danish National Bank</w:t>
        </w:r>
      </w:hyperlink>
      <w:r>
        <w:t xml:space="preserve"> serves as the lender of last resort and all bank accounts are denominated in </w:t>
      </w:r>
      <w:hyperlink r:id="rId46" w:tooltip="Danish krone" w:history="1">
        <w:r>
          <w:rPr>
            <w:rStyle w:val="Hyperlink"/>
          </w:rPr>
          <w:t>Danish kroner</w:t>
        </w:r>
      </w:hyperlink>
      <w:r>
        <w:t xml:space="preserve">. The Danish National Bank refers to the </w:t>
      </w:r>
      <w:hyperlink r:id="rId47" w:tooltip="Faroese króna" w:history="1">
        <w:r>
          <w:rPr>
            <w:rStyle w:val="Hyperlink"/>
          </w:rPr>
          <w:t xml:space="preserve">Faroese </w:t>
        </w:r>
        <w:proofErr w:type="spellStart"/>
        <w:r>
          <w:rPr>
            <w:rStyle w:val="Hyperlink"/>
          </w:rPr>
          <w:t>króna</w:t>
        </w:r>
        <w:proofErr w:type="spellEnd"/>
      </w:hyperlink>
      <w:r>
        <w:t xml:space="preserve"> as a "special version" of the Danish </w:t>
      </w:r>
      <w:proofErr w:type="spellStart"/>
      <w:r>
        <w:t>krone</w:t>
      </w:r>
      <w:proofErr w:type="spellEnd"/>
      <w:r>
        <w:t>.</w:t>
      </w:r>
    </w:p>
    <w:p w:rsidR="0057279F" w:rsidRDefault="0057279F" w:rsidP="0057279F">
      <w:pPr>
        <w:pStyle w:val="Heading2"/>
      </w:pPr>
      <w:r>
        <w:rPr>
          <w:rStyle w:val="mw-headline"/>
        </w:rPr>
        <w:t>Historical examples</w:t>
      </w:r>
    </w:p>
    <w:p w:rsidR="0057279F" w:rsidRDefault="00627B55" w:rsidP="0057279F">
      <w:pPr>
        <w:numPr>
          <w:ilvl w:val="0"/>
          <w:numId w:val="6"/>
        </w:numPr>
        <w:spacing w:before="100" w:beforeAutospacing="1" w:after="100" w:afterAutospacing="1"/>
      </w:pPr>
      <w:hyperlink r:id="rId48" w:tooltip="Irish pound" w:history="1">
        <w:r w:rsidR="0057279F">
          <w:rPr>
            <w:rStyle w:val="Hyperlink"/>
          </w:rPr>
          <w:t>Irish pound</w:t>
        </w:r>
      </w:hyperlink>
      <w:r w:rsidR="0057279F">
        <w:t xml:space="preserve">, pegged against </w:t>
      </w:r>
      <w:hyperlink r:id="rId49" w:tooltip="Pound sterling" w:history="1">
        <w:r w:rsidR="0057279F">
          <w:rPr>
            <w:rStyle w:val="Hyperlink"/>
          </w:rPr>
          <w:t>pound sterling</w:t>
        </w:r>
      </w:hyperlink>
      <w:r w:rsidR="0057279F">
        <w:t xml:space="preserve"> from independence until 1979.</w:t>
      </w:r>
    </w:p>
    <w:p w:rsidR="0057279F" w:rsidRDefault="00627B55" w:rsidP="0057279F">
      <w:pPr>
        <w:numPr>
          <w:ilvl w:val="0"/>
          <w:numId w:val="6"/>
        </w:numPr>
        <w:spacing w:before="100" w:beforeAutospacing="1" w:after="100" w:afterAutospacing="1"/>
      </w:pPr>
      <w:hyperlink r:id="rId50" w:tooltip="Argentine peso" w:history="1">
        <w:r w:rsidR="0057279F">
          <w:rPr>
            <w:rStyle w:val="Hyperlink"/>
          </w:rPr>
          <w:t>Argentine peso</w:t>
        </w:r>
      </w:hyperlink>
      <w:r w:rsidR="0057279F">
        <w:t xml:space="preserve">, pegged against the </w:t>
      </w:r>
      <w:hyperlink r:id="rId51" w:tooltip="United States dollar" w:history="1">
        <w:r w:rsidR="0057279F">
          <w:rPr>
            <w:rStyle w:val="Hyperlink"/>
          </w:rPr>
          <w:t>United States dollar</w:t>
        </w:r>
      </w:hyperlink>
      <w:r w:rsidR="0057279F">
        <w:t xml:space="preserve"> until 2002.</w:t>
      </w:r>
    </w:p>
    <w:sectPr w:rsidR="0057279F" w:rsidSect="000A1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D5D92"/>
    <w:multiLevelType w:val="multilevel"/>
    <w:tmpl w:val="05807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45C67"/>
    <w:multiLevelType w:val="multilevel"/>
    <w:tmpl w:val="2F2E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D4E84"/>
    <w:multiLevelType w:val="multilevel"/>
    <w:tmpl w:val="B61E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10B36"/>
    <w:multiLevelType w:val="multilevel"/>
    <w:tmpl w:val="F64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E3509"/>
    <w:multiLevelType w:val="multilevel"/>
    <w:tmpl w:val="CA2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E83BBB"/>
    <w:multiLevelType w:val="multilevel"/>
    <w:tmpl w:val="59AA5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79F"/>
    <w:rsid w:val="000A10EA"/>
    <w:rsid w:val="004D729D"/>
    <w:rsid w:val="0057279F"/>
    <w:rsid w:val="00627B55"/>
    <w:rsid w:val="009B6544"/>
    <w:rsid w:val="00C23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EA"/>
  </w:style>
  <w:style w:type="paragraph" w:styleId="Heading2">
    <w:name w:val="heading 2"/>
    <w:basedOn w:val="Normal"/>
    <w:link w:val="Heading2Char"/>
    <w:uiPriority w:val="9"/>
    <w:qFormat/>
    <w:rsid w:val="0057279F"/>
    <w:pPr>
      <w:spacing w:before="100" w:beforeAutospacing="1" w:after="100" w:afterAutospacing="1"/>
      <w:ind w:firstLine="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727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79F"/>
    <w:rPr>
      <w:color w:val="0000FF"/>
      <w:u w:val="single"/>
    </w:rPr>
  </w:style>
  <w:style w:type="character" w:customStyle="1" w:styleId="Heading2Char">
    <w:name w:val="Heading 2 Char"/>
    <w:basedOn w:val="DefaultParagraphFont"/>
    <w:link w:val="Heading2"/>
    <w:uiPriority w:val="9"/>
    <w:rsid w:val="0057279F"/>
    <w:rPr>
      <w:rFonts w:ascii="Times New Roman" w:eastAsia="Times New Roman" w:hAnsi="Times New Roman" w:cs="Times New Roman"/>
      <w:b/>
      <w:bCs/>
      <w:sz w:val="36"/>
      <w:szCs w:val="36"/>
    </w:rPr>
  </w:style>
  <w:style w:type="character" w:customStyle="1" w:styleId="mw-headline">
    <w:name w:val="mw-headline"/>
    <w:basedOn w:val="DefaultParagraphFont"/>
    <w:rsid w:val="0057279F"/>
  </w:style>
  <w:style w:type="paragraph" w:styleId="NormalWeb">
    <w:name w:val="Normal (Web)"/>
    <w:basedOn w:val="Normal"/>
    <w:uiPriority w:val="99"/>
    <w:semiHidden/>
    <w:unhideWhenUsed/>
    <w:rsid w:val="0057279F"/>
    <w:pPr>
      <w:spacing w:before="100" w:beforeAutospacing="1" w:after="100" w:afterAutospacing="1"/>
      <w:ind w:firstLine="0"/>
    </w:pPr>
    <w:rPr>
      <w:rFonts w:ascii="Times New Roman" w:eastAsia="Times New Roman" w:hAnsi="Times New Roman" w:cs="Times New Roman"/>
      <w:sz w:val="24"/>
      <w:szCs w:val="24"/>
    </w:rPr>
  </w:style>
  <w:style w:type="character" w:customStyle="1" w:styleId="editsection">
    <w:name w:val="editsection"/>
    <w:basedOn w:val="DefaultParagraphFont"/>
    <w:rsid w:val="0057279F"/>
  </w:style>
  <w:style w:type="character" w:customStyle="1" w:styleId="Heading3Char">
    <w:name w:val="Heading 3 Char"/>
    <w:basedOn w:val="DefaultParagraphFont"/>
    <w:link w:val="Heading3"/>
    <w:uiPriority w:val="9"/>
    <w:semiHidden/>
    <w:rsid w:val="0057279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0250945">
      <w:bodyDiv w:val="1"/>
      <w:marLeft w:val="0"/>
      <w:marRight w:val="0"/>
      <w:marTop w:val="0"/>
      <w:marBottom w:val="0"/>
      <w:divBdr>
        <w:top w:val="none" w:sz="0" w:space="0" w:color="auto"/>
        <w:left w:val="none" w:sz="0" w:space="0" w:color="auto"/>
        <w:bottom w:val="none" w:sz="0" w:space="0" w:color="auto"/>
        <w:right w:val="none" w:sz="0" w:space="0" w:color="auto"/>
      </w:divBdr>
    </w:div>
    <w:div w:id="522521284">
      <w:bodyDiv w:val="1"/>
      <w:marLeft w:val="0"/>
      <w:marRight w:val="0"/>
      <w:marTop w:val="0"/>
      <w:marBottom w:val="0"/>
      <w:divBdr>
        <w:top w:val="none" w:sz="0" w:space="0" w:color="auto"/>
        <w:left w:val="none" w:sz="0" w:space="0" w:color="auto"/>
        <w:bottom w:val="none" w:sz="0" w:space="0" w:color="auto"/>
        <w:right w:val="none" w:sz="0" w:space="0" w:color="auto"/>
      </w:divBdr>
    </w:div>
    <w:div w:id="19422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ard_currency" TargetMode="External"/><Relationship Id="rId18" Type="http://schemas.openxmlformats.org/officeDocument/2006/relationships/hyperlink" Target="http://en.wikipedia.org/w/index.php?title=Currency_board&amp;action=edit&amp;section=3" TargetMode="External"/><Relationship Id="rId26" Type="http://schemas.openxmlformats.org/officeDocument/2006/relationships/hyperlink" Target="http://en.wikipedia.org/wiki/Cayman_Islands_dollar" TargetMode="External"/><Relationship Id="rId39" Type="http://schemas.openxmlformats.org/officeDocument/2006/relationships/hyperlink" Target="http://en.wikipedia.org/wiki/Saint_Helena_pound" TargetMode="External"/><Relationship Id="rId3" Type="http://schemas.openxmlformats.org/officeDocument/2006/relationships/settings" Target="settings.xml"/><Relationship Id="rId21" Type="http://schemas.openxmlformats.org/officeDocument/2006/relationships/hyperlink" Target="http://en.wikipedia.org/wiki/Bosnia_and_Herzegovina_convertible_mark" TargetMode="External"/><Relationship Id="rId34" Type="http://schemas.openxmlformats.org/officeDocument/2006/relationships/hyperlink" Target="http://en.wikipedia.org/wiki/Saint_Lucia" TargetMode="External"/><Relationship Id="rId42" Type="http://schemas.openxmlformats.org/officeDocument/2006/relationships/hyperlink" Target="http://en.wikipedia.org/wiki/Macanese_pataca" TargetMode="External"/><Relationship Id="rId47" Type="http://schemas.openxmlformats.org/officeDocument/2006/relationships/hyperlink" Target="http://en.wikipedia.org/wiki/Faroese_kr%C3%B3na" TargetMode="External"/><Relationship Id="rId50" Type="http://schemas.openxmlformats.org/officeDocument/2006/relationships/hyperlink" Target="http://en.wikipedia.org/wiki/Argentine_peso" TargetMode="External"/><Relationship Id="rId7" Type="http://schemas.openxmlformats.org/officeDocument/2006/relationships/hyperlink" Target="http://en.wikipedia.org/wiki/Monetary_base" TargetMode="External"/><Relationship Id="rId12" Type="http://schemas.openxmlformats.org/officeDocument/2006/relationships/hyperlink" Target="http://en.wikipedia.org/wiki/Fiat_money" TargetMode="External"/><Relationship Id="rId17" Type="http://schemas.openxmlformats.org/officeDocument/2006/relationships/hyperlink" Target="http://en.wikipedia.org/wiki/Foreign_exchange_reserves" TargetMode="External"/><Relationship Id="rId25" Type="http://schemas.openxmlformats.org/officeDocument/2006/relationships/hyperlink" Target="http://en.wikipedia.org/wiki/Bermudian_dollar" TargetMode="External"/><Relationship Id="rId33" Type="http://schemas.openxmlformats.org/officeDocument/2006/relationships/hyperlink" Target="http://en.wikipedia.org/wiki/Saint_Kitts_and_Nevis" TargetMode="External"/><Relationship Id="rId38" Type="http://schemas.openxmlformats.org/officeDocument/2006/relationships/hyperlink" Target="http://en.wikipedia.org/wiki/Gibraltar_pound" TargetMode="External"/><Relationship Id="rId46" Type="http://schemas.openxmlformats.org/officeDocument/2006/relationships/hyperlink" Target="http://en.wikipedia.org/wiki/Danish_krone" TargetMode="External"/><Relationship Id="rId2" Type="http://schemas.openxmlformats.org/officeDocument/2006/relationships/styles" Target="styles.xml"/><Relationship Id="rId16" Type="http://schemas.openxmlformats.org/officeDocument/2006/relationships/hyperlink" Target="http://en.wikipedia.org/wiki/Balance_of_payments" TargetMode="External"/><Relationship Id="rId20" Type="http://schemas.openxmlformats.org/officeDocument/2006/relationships/hyperlink" Target="http://en.wikipedia.org/wiki/Estonian_kroon" TargetMode="External"/><Relationship Id="rId29" Type="http://schemas.openxmlformats.org/officeDocument/2006/relationships/hyperlink" Target="http://en.wikipedia.org/wiki/Antigua" TargetMode="External"/><Relationship Id="rId41" Type="http://schemas.openxmlformats.org/officeDocument/2006/relationships/hyperlink" Target="http://en.wikipedia.org/wiki/Singapore_dollar" TargetMode="External"/><Relationship Id="rId1" Type="http://schemas.openxmlformats.org/officeDocument/2006/relationships/numbering" Target="numbering.xml"/><Relationship Id="rId6" Type="http://schemas.openxmlformats.org/officeDocument/2006/relationships/hyperlink" Target="http://en.wikipedia.org/wiki/Fixed_exchange_rate" TargetMode="External"/><Relationship Id="rId11" Type="http://schemas.openxmlformats.org/officeDocument/2006/relationships/hyperlink" Target="http://en.wikipedia.org/wiki/Lender_of_last_resort" TargetMode="External"/><Relationship Id="rId24" Type="http://schemas.openxmlformats.org/officeDocument/2006/relationships/hyperlink" Target="http://en.wikipedia.org/wiki/Hong_Kong_dollar" TargetMode="External"/><Relationship Id="rId32" Type="http://schemas.openxmlformats.org/officeDocument/2006/relationships/hyperlink" Target="http://en.wikipedia.org/wiki/Grenada" TargetMode="External"/><Relationship Id="rId37" Type="http://schemas.openxmlformats.org/officeDocument/2006/relationships/hyperlink" Target="http://en.wikipedia.org/wiki/Falkland_Islands_pound" TargetMode="External"/><Relationship Id="rId40" Type="http://schemas.openxmlformats.org/officeDocument/2006/relationships/hyperlink" Target="http://en.wikipedia.org/wiki/Brunei_dollar" TargetMode="External"/><Relationship Id="rId45" Type="http://schemas.openxmlformats.org/officeDocument/2006/relationships/hyperlink" Target="http://en.wikipedia.org/wiki/Danish_National_Bank" TargetMode="External"/><Relationship Id="rId53" Type="http://schemas.openxmlformats.org/officeDocument/2006/relationships/theme" Target="theme/theme1.xml"/><Relationship Id="rId5" Type="http://schemas.openxmlformats.org/officeDocument/2006/relationships/hyperlink" Target="http://en.wikipedia.org/wiki/Monetary_authority" TargetMode="External"/><Relationship Id="rId15" Type="http://schemas.openxmlformats.org/officeDocument/2006/relationships/hyperlink" Target="http://en.wikipedia.org/wiki/Euro" TargetMode="External"/><Relationship Id="rId23" Type="http://schemas.openxmlformats.org/officeDocument/2006/relationships/hyperlink" Target="http://en.wikipedia.org/wiki/Currencies_related_to_the_euro" TargetMode="External"/><Relationship Id="rId28" Type="http://schemas.openxmlformats.org/officeDocument/2006/relationships/hyperlink" Target="http://en.wikipedia.org/wiki/East_Caribbean_dollar" TargetMode="External"/><Relationship Id="rId36" Type="http://schemas.openxmlformats.org/officeDocument/2006/relationships/hyperlink" Target="http://en.wikipedia.org/wiki/United_States_dollar" TargetMode="External"/><Relationship Id="rId49" Type="http://schemas.openxmlformats.org/officeDocument/2006/relationships/hyperlink" Target="http://en.wikipedia.org/wiki/Pound_sterling" TargetMode="External"/><Relationship Id="rId10" Type="http://schemas.openxmlformats.org/officeDocument/2006/relationships/hyperlink" Target="http://en.wikipedia.org/wiki/Monetary_policy" TargetMode="External"/><Relationship Id="rId19" Type="http://schemas.openxmlformats.org/officeDocument/2006/relationships/hyperlink" Target="http://en.wikipedia.org/wiki/Bulgarian_lev" TargetMode="External"/><Relationship Id="rId31" Type="http://schemas.openxmlformats.org/officeDocument/2006/relationships/hyperlink" Target="http://en.wikipedia.org/wiki/Dominica" TargetMode="External"/><Relationship Id="rId44" Type="http://schemas.openxmlformats.org/officeDocument/2006/relationships/hyperlink" Target="http://en.wikipedia.org/wiki/Faeroe_Island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Seignorage" TargetMode="External"/><Relationship Id="rId14" Type="http://schemas.openxmlformats.org/officeDocument/2006/relationships/hyperlink" Target="http://en.wikipedia.org/wiki/United_States_dollar" TargetMode="External"/><Relationship Id="rId22" Type="http://schemas.openxmlformats.org/officeDocument/2006/relationships/hyperlink" Target="http://en.wikipedia.org/wiki/Lithuanian_litas" TargetMode="External"/><Relationship Id="rId27" Type="http://schemas.openxmlformats.org/officeDocument/2006/relationships/hyperlink" Target="http://en.wikipedia.org/wiki/Djiboutian_franc" TargetMode="External"/><Relationship Id="rId30" Type="http://schemas.openxmlformats.org/officeDocument/2006/relationships/hyperlink" Target="http://en.wikipedia.org/wiki/Barbuda" TargetMode="External"/><Relationship Id="rId35" Type="http://schemas.openxmlformats.org/officeDocument/2006/relationships/hyperlink" Target="http://en.wikipedia.org/wiki/Saint_Vincent_and_the_Grenadines" TargetMode="External"/><Relationship Id="rId43" Type="http://schemas.openxmlformats.org/officeDocument/2006/relationships/hyperlink" Target="http://en.wikipedia.org/wiki/Hong_Kong_dollar" TargetMode="External"/><Relationship Id="rId48" Type="http://schemas.openxmlformats.org/officeDocument/2006/relationships/hyperlink" Target="http://en.wikipedia.org/wiki/Irish_pound" TargetMode="External"/><Relationship Id="rId8" Type="http://schemas.openxmlformats.org/officeDocument/2006/relationships/hyperlink" Target="http://en.wikipedia.org/wiki/Reserve_requirement" TargetMode="External"/><Relationship Id="rId51" Type="http://schemas.openxmlformats.org/officeDocument/2006/relationships/hyperlink" Target="http://en.wikipedia.org/wiki/United_States_dol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RAJKUMAR</dc:creator>
  <cp:lastModifiedBy>RAJKUMAR</cp:lastModifiedBy>
  <cp:revision>2</cp:revision>
  <dcterms:created xsi:type="dcterms:W3CDTF">2010-11-10T17:47:00Z</dcterms:created>
  <dcterms:modified xsi:type="dcterms:W3CDTF">2010-11-11T14:00:00Z</dcterms:modified>
</cp:coreProperties>
</file>